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vyd="http://volga.yandex.com/schemas/document/model" mc:Ignorable="vyd w14 w15 wp14" w:conformance="transitional">
  <w:background/>
  <w:body vyd:_id="vyd:00000000000001">
    <w:p vyd:_id="vyd:0000000000002k">
      <w:pPr>
        <w:pStyle w:val="856"/>
        <w:rPr>
          <w:sz w:val="28"/>
          <w:bCs w:val="1"/>
          <w:szCs w:val="28"/>
        </w:rPr>
      </w:pPr>
      <w:r>
        <w:rPr>
          <w:sz w:val="28"/>
          <w:szCs w:val="28"/>
        </w:rPr>
        <w:t vyd:_id="vyd:0000000000002n">(</w:t>
      </w:r>
      <w:r>
        <w:rPr>
          <w:color w:val="000000"/>
          <w:shd w:val="clear" w:color="auto" w:fill="ffffff"/>
          <w:szCs w:val="28"/>
        </w:rPr>
        <w:t vyd:_id="vyd:0000000000002m">Инструкция по именованию АП VipNet.</w:t>
      </w:r>
      <w:r>
        <w:rPr>
          <w:color w:val="000000"/>
          <w:shd w:val="clear" w:color="auto" w:fill="ffffff"/>
          <w:szCs w:val="28"/>
        </w:rPr>
        <w:t vyd:_id="vyd:0000000000002l">)</w:t>
      </w:r>
    </w:p>
    <w:p vyd:_id="vyd:0000000000002j">
      <w:pPr>
        <w:pStyle w:val="863"/>
        <w:spacing w:before="0" w:line="240" w:lineRule="auto"/>
        <w:jc w:val="start"/>
        <w:rPr>
          <w:lang w:val="en-US"/>
          <w:szCs w:val="28"/>
        </w:rPr>
      </w:pPr>
    </w:p>
    <w:p vyd:_id="vyd:0000000000002h">
      <w:pPr>
        <w:pStyle w:val="863"/>
        <w:spacing w:before="0" w:line="240" w:lineRule="auto"/>
        <w:jc w:val="start"/>
        <w:rPr>
          <w:b w:val="1"/>
          <w:szCs w:val="28"/>
        </w:rPr>
      </w:pPr>
      <w:r>
        <w:rPr>
          <w:b w:val="1"/>
          <w:szCs w:val="28"/>
        </w:rPr>
        <w:t vyd:_id="vyd:0000000000002i">Наименование абонентского пункта должно соответствовать следующей структуре:</w:t>
      </w:r>
    </w:p>
    <w:p vyd:_id="vyd:0000000000002g">
      <w:pPr>
        <w:pStyle w:val="863"/>
        <w:spacing w:before="0" w:line="240" w:lineRule="auto"/>
        <w:jc w:val="start"/>
        <w:rPr>
          <w:szCs w:val="28"/>
        </w:rPr>
      </w:pPr>
    </w:p>
    <w:p vyd:_id="vyd:00000000000026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2f">(ИОГВ/МР/МО/ГО)(Наименование Муниципального района или городского поселения)</w:t>
      </w:r>
      <w:r>
        <w:rPr>
          <w:szCs w:val="28"/>
        </w:rPr>
        <w:t vyd:_id="vyd:0000000000002e">_</w:t>
      </w:r>
      <w:r>
        <w:rPr>
          <w:szCs w:val="28"/>
        </w:rPr>
        <w:t vyd:_id="vyd:0000000000002d">(Наименование административного района или Поселения)</w:t>
      </w:r>
      <w:r>
        <w:rPr>
          <w:szCs w:val="28"/>
        </w:rPr>
        <w:t vyd:_id="vyd:0000000000002c">_[</w:t>
      </w:r>
      <w:r>
        <w:rPr>
          <w:szCs w:val="28"/>
        </w:rPr>
        <w:t vyd:_id="vyd:0000000000002b">Организация</w:t>
      </w:r>
      <w:r>
        <w:rPr>
          <w:szCs w:val="28"/>
        </w:rPr>
        <w:t vyd:_id="vyd:0000000000002a" xml:space="preserve">]_[ФИО </w:t>
      </w:r>
      <w:r>
        <w:rPr>
          <w:szCs w:val="28"/>
        </w:rPr>
        <w:t vyd:_id="vyd:00000000000029">сотрудника</w:t>
      </w:r>
      <w:r>
        <w:rPr>
          <w:szCs w:val="28"/>
        </w:rPr>
        <w:t vyd:_id="vyd:00000000000028">]</w:t>
      </w:r>
      <w:r>
        <w:rPr>
          <w:szCs w:val="28"/>
        </w:rPr>
        <w:t vyd:_id="vyd:00000000000027">_(платформа)</w:t>
      </w:r>
    </w:p>
    <w:p vyd:_id="vyd:00000000000025">
      <w:pPr>
        <w:pStyle w:val="863"/>
        <w:spacing w:before="0" w:line="240" w:lineRule="auto"/>
        <w:jc w:val="both"/>
        <w:rPr>
          <w:szCs w:val="28"/>
        </w:rPr>
      </w:pPr>
    </w:p>
    <w:p vyd:_id="vyd:00000000000023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24">Круглые скобки – информация обязательная</w:t>
      </w:r>
    </w:p>
    <w:p vyd:_id="vyd:00000000000021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22">Квадратные скобки – информация может отсутствовать</w:t>
      </w:r>
    </w:p>
    <w:p vyd:_id="vyd:00000000000020">
      <w:pPr>
        <w:pStyle w:val="863"/>
        <w:spacing w:before="0" w:line="240" w:lineRule="auto"/>
        <w:jc w:val="start"/>
        <w:rPr>
          <w:szCs w:val="28"/>
        </w:rPr>
      </w:pPr>
    </w:p>
    <w:p vyd:_id="vyd:0000000000001x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1z">Примеры</w:t>
      </w:r>
      <w:r>
        <w:rPr>
          <w:lang w:val="en-US"/>
          <w:szCs w:val="28"/>
        </w:rPr>
        <w:t vyd:_id="vyd:0000000000001y">:</w:t>
      </w:r>
    </w:p>
    <w:p vyd:_id="vyd:0000000000001w">
      <w:pPr>
        <w:pStyle w:val="863"/>
        <w:spacing w:before="0" w:line="240" w:lineRule="auto"/>
        <w:jc w:val="start"/>
        <w:rPr>
          <w:szCs w:val="28"/>
        </w:rPr>
      </w:pPr>
    </w:p>
    <w:p vyd:_id="vyd:0000000000001u">
      <w:pPr>
        <w:pStyle w:val="863"/>
        <w:spacing w:before="0" w:line="240" w:lineRule="auto"/>
        <w:jc w:val="start"/>
        <w:rPr>
          <w:b w:val="1"/>
          <w:lang w:val="en-US"/>
          <w:szCs w:val="28"/>
        </w:rPr>
      </w:pPr>
      <w:r>
        <w:rPr>
          <w:b w:val="1"/>
          <w:szCs w:val="28"/>
        </w:rPr>
        <w:t vyd:_id="vyd:0000000000001v">Для ОМСУ:</w:t>
      </w:r>
    </w:p>
    <w:p vyd:_id="vyd:0000000000001t">
      <w:pPr>
        <w:pStyle w:val="863"/>
        <w:spacing w:before="0" w:line="240" w:lineRule="auto"/>
        <w:jc w:val="start"/>
        <w:rPr>
          <w:lang w:val="en-US"/>
          <w:szCs w:val="28"/>
        </w:rPr>
      </w:pPr>
    </w:p>
    <w:p vyd:_id="vyd:0000000000001o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1s">ГО</w:t>
      </w:r>
      <w:r>
        <w:rPr>
          <w:szCs w:val="28"/>
        </w:rPr>
        <w:t vyd:_id="vyd:0000000000001r" xml:space="preserve"> Чита_Центральный рн_</w:t>
      </w:r>
      <w:r>
        <w:rPr>
          <w:szCs w:val="28"/>
        </w:rPr>
        <w:t vyd:_id="vyd:0000000000001q">Администрация</w:t>
      </w:r>
      <w:r>
        <w:rPr>
          <w:szCs w:val="28"/>
        </w:rPr>
        <w:t vyd:_id="vyd:0000000000001p">_СидоровСС_win</w:t>
      </w:r>
    </w:p>
    <w:p vyd:_id="vyd:0000000000001m">
      <w:pPr>
        <w:pStyle w:val="863"/>
        <w:spacing w:before="0" w:line="240" w:lineRule="auto"/>
        <w:jc w:val="start"/>
        <w:rPr/>
      </w:pPr>
      <w:r>
        <w:rPr>
          <w:szCs w:val="28"/>
        </w:rPr>
        <w:t vyd:_id="vyd:0000000000001n">МР Забайкальский_СП Степное_ИвановПП_linux</w:t>
      </w:r>
    </w:p>
    <w:p vyd:_id="vyd:0000000000001k">
      <w:pPr>
        <w:pStyle w:val="863"/>
        <w:spacing w:before="0" w:line="240" w:lineRule="auto"/>
        <w:jc w:val="start"/>
      </w:pPr>
      <w:r>
        <w:rPr>
          <w:szCs w:val="28"/>
        </w:rPr>
        <w:t vyd:_id="vyd:0000000000001l">МО Каларский_СП Чарское_ПетровИИ_win</w:t>
      </w:r>
    </w:p>
    <w:p vyd:_id="vyd:0000000000001j">
      <w:pPr>
        <w:pStyle w:val="863"/>
        <w:spacing w:before="0" w:line="240" w:lineRule="auto"/>
        <w:jc w:val="start"/>
        <w:rPr>
          <w:lang w:val="en-US"/>
          <w:szCs w:val="28"/>
        </w:rPr>
      </w:pPr>
    </w:p>
    <w:p vyd:_id="vyd:0000000000001h">
      <w:pPr>
        <w:pStyle w:val="863"/>
        <w:spacing w:before="0" w:line="240" w:lineRule="auto"/>
        <w:jc w:val="start"/>
        <w:rPr>
          <w:b w:val="1"/>
          <w:szCs w:val="28"/>
        </w:rPr>
      </w:pPr>
      <w:r>
        <w:rPr>
          <w:b w:val="1"/>
          <w:szCs w:val="28"/>
        </w:rPr>
        <w:t vyd:_id="vyd:0000000000001i">Для ИОГВ:</w:t>
      </w:r>
    </w:p>
    <w:p vyd:_id="vyd:0000000000001g">
      <w:pPr>
        <w:pStyle w:val="863"/>
        <w:spacing w:before="0" w:line="240" w:lineRule="auto"/>
        <w:jc w:val="start"/>
        <w:rPr>
          <w:szCs w:val="28"/>
        </w:rPr>
      </w:pPr>
    </w:p>
    <w:p vyd:_id="vyd:0000000000001d">
      <w:pPr>
        <w:pStyle w:val="863"/>
        <w:spacing w:before="0" w:line="240" w:lineRule="auto"/>
        <w:jc w:val="start"/>
        <w:rPr/>
      </w:pPr>
      <w:r>
        <w:rPr>
          <w:szCs w:val="28"/>
        </w:rPr>
        <w:t vyd:_id="vyd:0000000000001f">ИОГВ_Минсельхоз_ПетровПП</w:t>
      </w:r>
      <w:r>
        <w:rPr>
          <w:szCs w:val="28"/>
        </w:rPr>
        <w:t vyd:_id="vyd:0000000000001e">_win</w:t>
      </w:r>
    </w:p>
    <w:p vyd:_id="vyd:0000000000001b">
      <w:pPr>
        <w:pStyle w:val="863"/>
        <w:spacing w:before="0" w:line="240" w:lineRule="auto"/>
        <w:jc w:val="start"/>
      </w:pPr>
      <w:r>
        <w:rPr>
          <w:szCs w:val="28"/>
        </w:rPr>
        <w:t vyd:_id="vyd:0000000000001c">ИОГВ_МинЖКХ_ИвановИИ_linux</w:t>
      </w:r>
    </w:p>
    <w:p vyd:_id="vyd:0000000000001a">
      <w:pPr>
        <w:pStyle w:val="863"/>
        <w:spacing w:before="0" w:line="240" w:lineRule="auto"/>
        <w:jc w:val="start"/>
        <w:rPr>
          <w:szCs w:val="28"/>
        </w:rPr>
      </w:pPr>
    </w:p>
    <w:p vyd:_id="vyd:00000000000018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19">Примечания:</w:t>
      </w:r>
    </w:p>
    <w:p vyd:_id="vyd:00000000000017">
      <w:pPr>
        <w:pStyle w:val="863"/>
        <w:spacing w:before="0" w:line="240" w:lineRule="auto"/>
        <w:jc w:val="start"/>
        <w:rPr>
          <w:szCs w:val="28"/>
        </w:rPr>
      </w:pPr>
    </w:p>
    <w:p vyd:_id="vyd:00000000000012">
      <w:pPr>
        <w:pStyle w:val="863"/>
        <w:numPr>
          <w:ilvl w:val="0"/>
          <w:numId w:val="11"/>
        </w:numPr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16">В наименовании АП должно быть строго не более 50</w:t>
      </w:r>
      <w:r>
        <w:rPr>
          <w:szCs w:val="28"/>
        </w:rPr>
        <w:t vyd:_id="vyd:00000000000015">-</w:t>
      </w:r>
      <w:r>
        <w:rPr>
          <w:szCs w:val="28"/>
        </w:rPr>
        <w:t vyd:_id="vyd:00000000000014">ти знаков, включая пробелы и нижнее подчеркивание</w:t>
      </w:r>
      <w:r>
        <w:rPr>
          <w:szCs w:val="28"/>
        </w:rPr>
        <w:t vyd:_id="vyd:00000000000013">.</w:t>
      </w:r>
    </w:p>
    <w:p vyd:_id="vyd:0000000000000y">
      <w:pPr>
        <w:pStyle w:val="863"/>
        <w:numPr>
          <w:ilvl w:val="0"/>
          <w:numId w:val="11"/>
        </w:numPr>
        <w:spacing w:before="0" w:line="240" w:lineRule="auto"/>
        <w:jc w:val="start"/>
      </w:pPr>
      <w:r>
        <w:rPr>
          <w:szCs w:val="28"/>
        </w:rPr>
        <w:t vyd:_id="vyd:00000000000011">Для соблюдения ограничения в 50 знаков необходимо максимально использовать принятые в деловой п</w:t>
      </w:r>
      <w:r>
        <w:rPr>
          <w:szCs w:val="28"/>
        </w:rPr>
        <w:t vyd:_id="vyd:00000000000010">е</w:t>
      </w:r>
      <w:r>
        <w:rPr>
          <w:szCs w:val="28"/>
        </w:rPr>
        <w:t vyd:_id="vyd:0000000000000z">реписке сокращения.</w:t>
      </w:r>
    </w:p>
    <w:p vyd:_id="vyd:0000000000000w">
      <w:pPr>
        <w:pStyle w:val="863"/>
        <w:numPr>
          <w:ilvl w:val="0"/>
          <w:numId w:val="11"/>
        </w:numPr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0x" xml:space="preserve">Названия абонентских пунктов, не отвечающие указанным рекомендациям, рассматриваться не будут. Также таким абонентским пунктам не будет предоставляться доступ к СЭД. </w:t>
      </w:r>
    </w:p>
    <w:p vyd:_id="vyd:0000000000000v">
      <w:pPr>
        <w:pStyle w:val="863"/>
        <w:spacing w:before="0" w:line="240" w:lineRule="auto"/>
        <w:jc w:val="start"/>
        <w:rPr>
          <w:szCs w:val="28"/>
        </w:rPr>
      </w:pPr>
    </w:p>
    <w:p vyd:_id="vyd:0000000000000u">
      <w:pPr>
        <w:pStyle w:val="863"/>
        <w:spacing w:before="0" w:line="240" w:lineRule="auto"/>
        <w:jc w:val="start"/>
        <w:rPr>
          <w:sz w:val="18"/>
          <w:szCs w:val="18"/>
        </w:rPr>
      </w:pPr>
    </w:p>
    <w:p vyd:_id="vyd:0000000000000t">
      <w:pPr>
        <w:pStyle w:val="863"/>
        <w:spacing w:before="0" w:line="240" w:lineRule="auto"/>
        <w:jc w:val="start"/>
        <w:rPr>
          <w:szCs w:val="28"/>
        </w:rPr>
      </w:pPr>
    </w:p>
    <w:p vyd:_id="vyd:0000000000000s">
      <w:pPr>
        <w:pStyle w:val="863"/>
        <w:spacing w:before="0" w:line="240" w:lineRule="auto"/>
        <w:jc w:val="start"/>
        <w:rPr>
          <w:szCs w:val="28"/>
        </w:rPr>
      </w:pPr>
    </w:p>
    <w:p vyd:_id="vyd:0000000000000p">
      <w:pPr>
        <w:pStyle w:val="863"/>
        <w:spacing w:before="0" w:line="240" w:lineRule="auto"/>
        <w:jc w:val="start"/>
        <w:rPr>
          <w:szCs w:val="28"/>
        </w:rPr>
      </w:pPr>
      <w:r>
        <w:rPr>
          <w:szCs w:val="28"/>
        </w:rPr>
        <w:t vyd:_id="vyd:0000000000000r">Форма подачи заявки на переименование</w:t>
      </w:r>
      <w:r>
        <w:rPr>
          <w:szCs w:val="28"/>
        </w:rPr>
        <w:t vyd:_id="vyd:0000000000000q">:</w:t>
      </w:r>
    </w:p>
    <w:p vyd:_id="vyd:0000000000000o">
      <w:pPr>
        <w:pStyle w:val="863"/>
        <w:spacing w:before="0" w:line="240" w:lineRule="auto"/>
        <w:jc w:val="start"/>
        <w:rPr>
          <w:sz w:val="18"/>
          <w:szCs w:val="18"/>
        </w:rPr>
      </w:pPr>
    </w:p>
    <w:p vyd:_id="vyd:0000000000000n">
      <w:pPr>
        <w:pStyle w:val="863"/>
        <w:spacing w:before="0" w:line="240" w:lineRule="auto"/>
        <w:jc w:val="start"/>
        <w:rPr>
          <w:sz w:val="18"/>
          <w:szCs w:val="18"/>
        </w:rPr>
      </w:pPr>
    </w:p>
    <w:tbl vyd:_id="vyd:00000000000004"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start w:w="108" w:type="dxa"/>
          <w:bottom w:w="0" w:type="dxa"/>
          <w:end w:w="108" w:type="dxa"/>
        </w:tblCellMar>
        <w:tblLook w:firstRow="1" w:lastRow="0" w:firstColumn="1" w:lastColumn="0" w:noHBand="0" w:noVBand="1" w:val="07c5"/>
      </w:tblPr>
      <w:tblGrid>
        <w:gridCol w:w="675"/>
        <w:gridCol w:w="4395"/>
        <w:gridCol w:w="4501"/>
      </w:tblGrid>
      <w:tr vyd:_id="vyd:00000000000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0k">
          <w:tcPr>
            <w:noWrap w:val="0"/>
            <w:textDirection w:val="lrTb"/>
            <w:vAlign w:val="top"/>
          </w:tcPr>
          <w:p vyd:_id="vyd:0000000000000l">
            <w:pPr>
              <w:pStyle w:val="863"/>
              <w:spacing w:before="0" w:line="240" w:lineRule="auto"/>
              <w:rPr>
                <w:szCs w:val="28"/>
              </w:rPr>
            </w:pPr>
            <w:r>
              <w:rPr>
                <w:szCs w:val="28"/>
              </w:rPr>
              <w:t vyd:_id="vyd:0000000000000m">№</w:t>
            </w:r>
          </w:p>
        </w:tc>
        <w:tc vyd:_id="vyd:0000000000000g">
          <w:tcPr>
            <w:noWrap w:val="0"/>
            <w:textDirection w:val="lrTb"/>
            <w:vAlign w:val="top"/>
          </w:tcPr>
          <w:p vyd:_id="vyd:0000000000000h">
            <w:pPr>
              <w:pStyle w:val="863"/>
              <w:spacing w:before="0" w:line="240" w:lineRule="auto"/>
              <w:rPr>
                <w:szCs w:val="28"/>
              </w:rPr>
            </w:pPr>
            <w:r>
              <w:rPr>
                <w:szCs w:val="28"/>
              </w:rPr>
              <w:t vyd:_id="vyd:0000000000000j">Прежнее</w:t>
            </w:r>
            <w:r>
              <w:rPr>
                <w:szCs w:val="28"/>
              </w:rPr>
              <w:t vyd:_id="vyd:0000000000000i" xml:space="preserve"> наименование абонентского пункта</w:t>
            </w:r>
          </w:p>
        </w:tc>
        <w:tc vyd:_id="vyd:0000000000000d">
          <w:tcPr>
            <w:noWrap w:val="0"/>
            <w:textDirection w:val="lrTb"/>
            <w:vAlign w:val="top"/>
          </w:tcPr>
          <w:p vyd:_id="vyd:0000000000000e">
            <w:pPr>
              <w:pStyle w:val="863"/>
              <w:spacing w:before="0" w:line="240" w:lineRule="auto"/>
              <w:rPr>
                <w:szCs w:val="28"/>
              </w:rPr>
            </w:pPr>
            <w:r>
              <w:rPr>
                <w:szCs w:val="28"/>
              </w:rPr>
              <w:t vyd:_id="vyd:0000000000000f">Измененное в соответствии с рекомендациями</w:t>
            </w:r>
          </w:p>
        </w:tc>
      </w:tr>
      <w:tr vyd:_id="vyd:00000000000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 vyd:_id="vyd:0000000000000a">
          <w:tcPr>
            <w:noWrap w:val="0"/>
            <w:textDirection w:val="lrTb"/>
            <w:vAlign w:val="top"/>
          </w:tcPr>
          <w:p vyd:_id="vyd:0000000000000b">
            <w:pPr>
              <w:pStyle w:val="863"/>
              <w:spacing w:before="0" w:line="240" w:lineRule="auto"/>
              <w:rPr>
                <w:szCs w:val="28"/>
              </w:rPr>
            </w:pPr>
          </w:p>
        </w:tc>
        <w:tc vyd:_id="vyd:00000000000008">
          <w:tcPr>
            <w:noWrap w:val="0"/>
            <w:textDirection w:val="lrTb"/>
            <w:vAlign w:val="top"/>
          </w:tcPr>
          <w:p vyd:_id="vyd:00000000000009">
            <w:pPr>
              <w:pStyle w:val="863"/>
              <w:spacing w:before="0" w:line="240" w:lineRule="auto"/>
              <w:rPr>
                <w:szCs w:val="28"/>
              </w:rPr>
            </w:pPr>
          </w:p>
        </w:tc>
        <w:tc vyd:_id="vyd:00000000000006">
          <w:tcPr>
            <w:noWrap w:val="0"/>
            <w:textDirection w:val="lrTb"/>
            <w:vAlign w:val="top"/>
          </w:tcPr>
          <w:p vyd:_id="vyd:00000000000007">
            <w:pPr>
              <w:pStyle w:val="863"/>
              <w:spacing w:before="0" w:line="240" w:lineRule="auto"/>
              <w:rPr>
                <w:szCs w:val="28"/>
              </w:rPr>
            </w:pPr>
          </w:p>
        </w:tc>
      </w:tr>
    </w:tbl>
    <w:p vyd:_id="vyd:00000000000003"/>
    <w:sectPr vyd:_id="vyd:00000000000002">
      <w:footnotePr/>
      <w:endnotePr/>
      <w:type w:val="nextPage"/>
      <w:pgSz w:w="11906" w:h="16838" w:orient="portrait"/>
      <w:pgMar w:top="899" w:right="566" w:bottom="1134" w:left="1134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abstractNum w:abstractNumId="0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2880" w:leader="none"/>
        </w:tabs>
        <w:ind w:start="2880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3600" w:leader="none"/>
        </w:tabs>
        <w:ind w:start="3600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040" w:leader="none"/>
        </w:tabs>
        <w:ind w:start="5040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5760" w:leader="none"/>
        </w:tabs>
        <w:ind w:start="5760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80" w:hanging="360"/>
      </w:pPr>
      <w:rPr>
        <w:rFonts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500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220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940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60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80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100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820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54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0"/>
      <w:suff w:val="tab"/>
      <w:lvlText w:val=""/>
      <w:lvlJc w:val="start"/>
      <w:pPr>
        <w:tabs>
          <w:tab w:val="num" w:pos="720" w:leader="none"/>
        </w:tabs>
        <w:ind w:start="720" w:hanging="360"/>
      </w:pPr>
      <w:rPr>
        <w:rFonts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800" w:leader="none"/>
        </w:tabs>
        <w:ind w:start="1800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520" w:leader="none"/>
        </w:tabs>
        <w:ind w:start="2520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3240" w:leader="none"/>
        </w:tabs>
        <w:ind w:start="3240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3960" w:leader="none"/>
        </w:tabs>
        <w:ind w:start="3960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680" w:leader="none"/>
        </w:tabs>
        <w:ind w:start="4680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400" w:leader="none"/>
        </w:tabs>
        <w:ind w:start="5400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6120" w:leader="none"/>
        </w:tabs>
        <w:ind w:start="6120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840" w:leader="none"/>
        </w:tabs>
        <w:ind w:start="684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1080" w:leader="none"/>
        </w:tabs>
        <w:ind w:start="1080" w:hanging="360"/>
      </w:pPr>
      <w:rPr>
        <w:rFonts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800" w:leader="none"/>
        </w:tabs>
        <w:ind w:start="1800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520" w:leader="none"/>
        </w:tabs>
        <w:ind w:start="2520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3240" w:leader="none"/>
        </w:tabs>
        <w:ind w:start="3240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3960" w:leader="none"/>
        </w:tabs>
        <w:ind w:start="3960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680" w:leader="none"/>
        </w:tabs>
        <w:ind w:start="4680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400" w:leader="none"/>
        </w:tabs>
        <w:ind w:start="5400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6120" w:leader="none"/>
        </w:tabs>
        <w:ind w:start="6120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840" w:leader="none"/>
        </w:tabs>
        <w:ind w:start="684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1620" w:leader="none"/>
        </w:tabs>
        <w:ind w:start="1620" w:hanging="360"/>
      </w:pPr>
      <w:rPr>
        <w:rFonts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2340" w:leader="none"/>
        </w:tabs>
        <w:ind w:start="2340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3060" w:leader="none"/>
        </w:tabs>
        <w:ind w:start="3060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tabs>
          <w:tab w:val="num" w:pos="3780" w:leader="none"/>
        </w:tabs>
        <w:ind w:start="3780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tabs>
          <w:tab w:val="num" w:pos="4500" w:leader="none"/>
        </w:tabs>
        <w:ind w:start="4500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5220" w:leader="none"/>
        </w:tabs>
        <w:ind w:start="5220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tabs>
          <w:tab w:val="num" w:pos="5940" w:leader="none"/>
        </w:tabs>
        <w:ind w:start="5940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tabs>
          <w:tab w:val="num" w:pos="6660" w:leader="none"/>
        </w:tabs>
        <w:ind w:start="6660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7380" w:leader="none"/>
        </w:tabs>
        <w:ind w:start="73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4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lowerLetter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tabs>
          <w:tab w:val="num" w:pos="2160" w:leader="none"/>
        </w:tabs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tabs>
          <w:tab w:val="num" w:pos="4320" w:leader="none"/>
        </w:tabs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tabs>
          <w:tab w:val="num" w:pos="6480" w:leader="none"/>
        </w:tabs>
        <w:ind w:start="6480" w:hanging="180"/>
      </w:pPr>
    </w:lvl>
  </w:abstractNum>
  <w:abstractNum w:abstractNumId="5">
    <w:multiLevelType w:val="hybridMultilevel"/>
    <w:lvl w:ilvl="0">
      <w:start w:val="0"/>
      <w:numFmt w:val="bullet"/>
      <w:isLgl w:val="0"/>
      <w:suff w:val="tab"/>
      <w:lvlText w:val=""/>
      <w:lvlJc w:val="start"/>
      <w:pPr>
        <w:ind w:start="1068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0"/>
      <w:suff w:val="tab"/>
      <w:lvlText w:val="o"/>
      <w:lvlJc w:val="start"/>
      <w:pPr>
        <w:ind w:start="1788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508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228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948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668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388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108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828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500" w:hanging="360"/>
      </w:pPr>
    </w:lvl>
    <w:lvl w:ilvl="1">
      <w:start w:val="1"/>
      <w:numFmt w:val="lowerLetter"/>
      <w:isLgl w:val="0"/>
      <w:suff w:val="tab"/>
      <w:lvlText w:val="%2."/>
      <w:lvlJc w:val="start"/>
      <w:pPr>
        <w:ind w:start="222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94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66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438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510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82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54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7260" w:hanging="180"/>
      </w:pPr>
    </w:lvl>
  </w:abstractNum>
  <w:abstractNum w:abstractNumId="7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lowerLetter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tabs>
          <w:tab w:val="num" w:pos="2160" w:leader="none"/>
        </w:tabs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tabs>
          <w:tab w:val="num" w:pos="4320" w:leader="none"/>
        </w:tabs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tabs>
          <w:tab w:val="num" w:pos="6480" w:leader="none"/>
        </w:tabs>
        <w:ind w:start="6480" w:hanging="180"/>
      </w:pPr>
    </w:lvl>
  </w:abstractNum>
  <w:abstractNum w:abstractNumId="8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635" w:hanging="360"/>
      </w:pPr>
      <w:rPr>
        <w:rFonts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355" w:hanging="360"/>
      </w:pPr>
      <w:rPr>
        <w:rFonts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3075" w:hanging="360"/>
      </w:pPr>
      <w:rPr>
        <w:rFonts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795" w:hanging="360"/>
      </w:pPr>
      <w:rPr>
        <w:rFonts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515" w:hanging="360"/>
      </w:pPr>
      <w:rPr>
        <w:rFonts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235" w:hanging="360"/>
      </w:pPr>
      <w:rPr>
        <w:rFonts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955" w:hanging="360"/>
      </w:pPr>
      <w:rPr>
        <w:rFonts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675" w:hanging="360"/>
      </w:pPr>
      <w:rPr>
        <w:rFonts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395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1620" w:leader="none"/>
        </w:tabs>
        <w:ind w:start="1620" w:hanging="360"/>
      </w:pPr>
    </w:lvl>
    <w:lvl w:ilvl="1">
      <w:start w:val="1"/>
      <w:numFmt w:val="lowerLetter"/>
      <w:isLgl w:val="0"/>
      <w:suff w:val="tab"/>
      <w:lvlText w:val="%2."/>
      <w:lvlJc w:val="start"/>
      <w:pPr>
        <w:tabs>
          <w:tab w:val="num" w:pos="2340" w:leader="none"/>
        </w:tabs>
        <w:ind w:start="2340" w:hanging="360"/>
      </w:pPr>
    </w:lvl>
    <w:lvl w:ilvl="2">
      <w:start w:val="1"/>
      <w:numFmt w:val="lowerRoman"/>
      <w:isLgl w:val="0"/>
      <w:suff w:val="tab"/>
      <w:lvlText w:val="%3."/>
      <w:lvlJc w:val="end"/>
      <w:pPr>
        <w:tabs>
          <w:tab w:val="num" w:pos="3060" w:leader="none"/>
        </w:tabs>
        <w:ind w:start="3060" w:hanging="18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3780" w:leader="none"/>
        </w:tabs>
        <w:ind w:start="37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tabs>
          <w:tab w:val="num" w:pos="4500" w:leader="none"/>
        </w:tabs>
        <w:ind w:start="4500" w:hanging="360"/>
      </w:pPr>
    </w:lvl>
    <w:lvl w:ilvl="5">
      <w:start w:val="1"/>
      <w:numFmt w:val="lowerRoman"/>
      <w:isLgl w:val="0"/>
      <w:suff w:val="tab"/>
      <w:lvlText w:val="%6."/>
      <w:lvlJc w:val="end"/>
      <w:pPr>
        <w:tabs>
          <w:tab w:val="num" w:pos="5220" w:leader="none"/>
        </w:tabs>
        <w:ind w:start="5220" w:hanging="18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940" w:leader="none"/>
        </w:tabs>
        <w:ind w:start="59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tabs>
          <w:tab w:val="num" w:pos="6660" w:leader="none"/>
        </w:tabs>
        <w:ind w:start="6660" w:hanging="360"/>
      </w:pPr>
    </w:lvl>
    <w:lvl w:ilvl="8">
      <w:start w:val="1"/>
      <w:numFmt w:val="lowerRoman"/>
      <w:isLgl w:val="0"/>
      <w:suff w:val="tab"/>
      <w:lvlText w:val="%9."/>
      <w:lvlJc w:val="end"/>
      <w:pPr>
        <w:tabs>
          <w:tab w:val="num" w:pos="7380" w:leader="none"/>
        </w:tabs>
        <w:ind w:start="7380" w:hanging="180"/>
      </w:pPr>
    </w:lvl>
  </w:abstractNum>
  <w:num w:numId="1">
    <w:abstractNumId w:val="7"/>
  </w:num>
  <w:num w:numId="10">
    <w:abstractNumId w:val="5"/>
  </w:num>
  <w:num w:numId="11">
    <w:abstractNumId w:val="3"/>
  </w:num>
  <w:num w:numId="12">
    <w:abstractNumId w:val="6"/>
  </w:num>
  <w:num w:numId="2">
    <w:abstractNumId w:val="0"/>
  </w:num>
  <w:num w:numId="3">
    <w:abstractNumId w:val="10"/>
  </w:num>
  <w:num w:numId="4">
    <w:abstractNumId w:val="11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o="urn:schemas-microsoft-com:office:office" mc:Ignorable="w14 w15">
  <w:zoom w:percent="100"/>
  <w:displayBackgroundShape w:val="1"/>
  <w:trackRevisions w:val="0"/>
  <w:documentProtection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w="http://schemas.openxmlformats.org/wordprocessingml/2006/main">
  <w:docDefaults>
    <w:rPrDefault>
      <w:rPr>
        <w:lang w:val="ru-RU"/>
      </w:rPr>
    </w:rPrDefault>
    <w:pPrDefault>
      <w:pPr/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678">
    <w:name w:val="Heading 1"/>
    <w:basedOn w:val="856"/>
    <w:next w:val="856"/>
    <w:link w:val="679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6"/>
    <w:next w:val="856"/>
    <w:link w:val="681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6"/>
    <w:next w:val="856"/>
    <w:link w:val="683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6"/>
    <w:next w:val="856"/>
    <w:link w:val="685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686">
    <w:name w:val="Heading 5"/>
    <w:basedOn w:val="856"/>
    <w:next w:val="856"/>
    <w:link w:val="687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688">
    <w:name w:val="Heading 6"/>
    <w:basedOn w:val="856"/>
    <w:next w:val="856"/>
    <w:link w:val="689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90">
    <w:name w:val="Heading 7"/>
    <w:basedOn w:val="856"/>
    <w:next w:val="856"/>
    <w:link w:val="691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692">
    <w:name w:val="Heading 8"/>
    <w:basedOn w:val="856"/>
    <w:next w:val="856"/>
    <w:link w:val="693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694">
    <w:name w:val="Heading 9"/>
    <w:basedOn w:val="856"/>
    <w:next w:val="856"/>
    <w:link w:val="695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696">
    <w:name w:val="List Paragraph"/>
    <w:basedOn w:val="856"/>
    <w:uiPriority w:val="34"/>
    <w:qFormat w:val="1"/>
    <w:pPr>
      <w:ind w:start="720"/>
      <w:contextualSpacing w:val="1"/>
    </w:pPr>
  </w:style>
  <w:style w:type="paragraph" w:styleId="697">
    <w:name w:val="No Spacing"/>
    <w:uiPriority w:val="1"/>
    <w:qFormat w:val="1"/>
    <w:pPr>
      <w:spacing w:before="0" w:after="0" w:line="240" w:lineRule="auto"/>
    </w:pPr>
  </w:style>
  <w:style w:type="paragraph" w:styleId="698">
    <w:name w:val="Title"/>
    <w:basedOn w:val="856"/>
    <w:next w:val="856"/>
    <w:link w:val="699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6"/>
    <w:next w:val="856"/>
    <w:link w:val="701"/>
    <w:uiPriority w:val="11"/>
    <w:qFormat w:val="1"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6"/>
    <w:next w:val="856"/>
    <w:link w:val="703"/>
    <w:uiPriority w:val="29"/>
    <w:qFormat w:val="1"/>
    <w:pPr>
      <w:ind w:start="720" w:end="720"/>
    </w:pPr>
    <w:rPr>
      <w:i w:val="1"/>
    </w:rPr>
  </w:style>
  <w:style w:type="character" w:styleId="703">
    <w:name w:val="Quote Char"/>
    <w:link w:val="702"/>
    <w:uiPriority w:val="29"/>
    <w:rPr>
      <w:i w:val="1"/>
    </w:rPr>
  </w:style>
  <w:style w:type="paragraph" w:styleId="704">
    <w:name w:val="Intense Quote"/>
    <w:basedOn w:val="856"/>
    <w:next w:val="856"/>
    <w:link w:val="705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705">
    <w:name w:val="Intense Quote Char"/>
    <w:link w:val="704"/>
    <w:uiPriority w:val="30"/>
    <w:rPr>
      <w:i w:val="1"/>
    </w:rPr>
  </w:style>
  <w:style w:type="paragraph" w:styleId="706">
    <w:name w:val="Header"/>
    <w:basedOn w:val="856"/>
    <w:link w:val="707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7">
    <w:name w:val="Header Char"/>
    <w:link w:val="706"/>
    <w:uiPriority w:val="99"/>
  </w:style>
  <w:style w:type="paragraph" w:styleId="708">
    <w:name w:val="Footer"/>
    <w:basedOn w:val="856"/>
    <w:link w:val="711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9">
    <w:name w:val="Footer Char"/>
    <w:link w:val="708"/>
    <w:uiPriority w:val="99"/>
  </w:style>
  <w:style w:type="paragraph" w:styleId="710">
    <w:name w:val="Caption"/>
    <w:basedOn w:val="856"/>
    <w:next w:val="856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711">
    <w:name w:val="Caption Char"/>
    <w:basedOn w:val="710"/>
    <w:link w:val="708"/>
    <w:uiPriority w:val="99"/>
  </w:style>
  <w:style w:type="table" w:styleId="71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71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71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1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1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71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1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2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4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75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e70a3" w:themeColor="accent1" w:themeTint="80" w:themeShade="95"/>
        <w:b w:val="1"/>
      </w:rPr>
    </w:tblStylePr>
    <w:tblStylePr w:type="firstRow">
      <w:rPr>
        <w:color w:val="3e70a3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e70a3" w:themeColor="accent1" w:themeTint="80" w:themeShade="95"/>
        <w:b w:val="1"/>
      </w:rPr>
    </w:tblStylePr>
    <w:tblStylePr w:type="lastRow">
      <w:rPr>
        <w:color w:val="3e70a3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75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75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5c702f" w:themeColor="accent3" w:themeTint="FE" w:themeShade="95"/>
        <w:b w:val="1"/>
      </w:rPr>
    </w:tblStylePr>
    <w:tblStylePr w:type="firstRow">
      <w:rPr>
        <w:color w:val="5c702f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5c702f" w:themeColor="accent3" w:themeTint="FE" w:themeShade="95"/>
        <w:b w:val="1"/>
      </w:rPr>
    </w:tblStylePr>
    <w:tblStylePr w:type="lastRow">
      <w:rPr>
        <w:color w:val="5c702f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75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75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76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76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single" w:color="000000" w:themeColor="tex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e70a3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3e70a3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color="000000" w:sz="4" w:space="0"/>
          <w:start w:val="single" w:color="000000" w:themeColor="accen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single" w:color="000000" w:themeColor="accent2" w:themeTint="97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5c702f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5c702f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color="000000" w:sz="4" w:space="0"/>
          <w:start w:val="single" w:color="000000" w:themeColor="accent3" w:themeTint="FE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single" w:color="000000" w:themeColor="accent4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66777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7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7" w:themeColor="accent5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66777" w:themeColor="accent5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7" w:themeColor="accent5" w:themeShade="95"/>
        <w:i w:val="1"/>
      </w:rPr>
      <w:tcPr>
        <w:tcBorders>
          <w:top w:val="none" w:color="000000" w:sz="4" w:space="0"/>
          <w:start w:val="single" w:color="000000" w:themeColor="accent5" w:themeTint="9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66777" w:themeColor="accent5" w:themeShade="95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b05307" w:themeColor="accent6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053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05307" w:themeColor="accent6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b05307" w:themeColor="accent6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05307" w:themeColor="accent6" w:themeShade="95"/>
        <w:i w:val="1"/>
      </w:rPr>
      <w:tcPr>
        <w:tcBorders>
          <w:top w:val="none" w:color="000000" w:sz="4" w:space="0"/>
          <w:start w:val="single" w:color="000000" w:themeColor="accent6" w:themeTint="9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b05307" w:themeColor="accent6" w:themeShade="95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6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7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7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7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7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7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7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77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77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77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77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78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78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78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1cd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f9bf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9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9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9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80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80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80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80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a4b71" w:themeColor="accent1" w:themeShade="95"/>
        <w:b w:val="1"/>
      </w:rPr>
    </w:tblStylePr>
    <w:tblStylePr w:type="firstRow">
      <w:rPr>
        <w:color w:val="2a4b71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a4b71" w:themeColor="accent1" w:themeShade="95"/>
        <w:b w:val="1"/>
      </w:rPr>
    </w:tblStylePr>
    <w:tblStylePr w:type="lastRow">
      <w:rPr>
        <w:color w:val="2a4b71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c983f" w:themeColor="accent3" w:themeTint="98" w:themeShade="95"/>
        <w:b w:val="1"/>
      </w:rPr>
    </w:tblStylePr>
    <w:tblStylePr w:type="firstRow">
      <w:rPr>
        <w:color w:val="7c983f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c983f" w:themeColor="accent3" w:themeTint="98" w:themeShade="95"/>
        <w:b w:val="1"/>
      </w:rPr>
    </w:tblStylePr>
    <w:tblStylePr w:type="lastRow">
      <w:rPr>
        <w:color w:val="7c983f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8aa0" w:themeColor="accent5" w:themeTint="9A" w:themeShade="95"/>
        <w:b w:val="1"/>
      </w:rPr>
    </w:tblStylePr>
    <w:tblStylePr w:type="firstRow">
      <w:rPr>
        <w:color w:val="338aa0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8aa0" w:themeColor="accent5" w:themeTint="9A" w:themeShade="95"/>
        <w:b w:val="1"/>
      </w:rPr>
    </w:tblStylePr>
    <w:tblStylePr w:type="lastRow">
      <w:rPr>
        <w:color w:val="338aa0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d9680c" w:themeColor="accent6" w:themeTint="98" w:themeShade="95"/>
        <w:b w:val="1"/>
      </w:rPr>
    </w:tblStylePr>
    <w:tblStylePr w:type="firstRow">
      <w:rPr>
        <w:color w:val="d9680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d9680c" w:themeColor="accent6" w:themeTint="98" w:themeShade="95"/>
        <w:b w:val="1"/>
      </w:rPr>
    </w:tblStylePr>
    <w:tblStylePr w:type="lastRow">
      <w:rPr>
        <w:color w:val="d9680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single" w:color="000000" w:themeColor="tex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81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a4b71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2a4b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b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color="000000" w:sz="4" w:space="0"/>
          <w:start w:val="single" w:color="000000" w:themeColor="accent1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a4b71" w:themeColor="accent1" w:themeShade="95"/>
        <w:i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a4b71" w:themeColor="accent1" w:themeShade="95"/>
      </w:rPr>
    </w:tblStylePr>
  </w:style>
  <w:style w:type="table" w:styleId="81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single" w:color="000000" w:themeColor="accent2" w:themeTint="97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9c3a37" w:themeColor="accent2" w:themeTint="97" w:themeShade="95"/>
      </w:rPr>
    </w:tblStylePr>
  </w:style>
  <w:style w:type="table" w:styleId="81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c983f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7c983f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color="000000" w:sz="4" w:space="0"/>
          <w:start w:val="single" w:color="000000" w:themeColor="accent3" w:themeTint="98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c983f" w:themeColor="accent3" w:themeTint="98" w:themeShade="95"/>
      </w:rPr>
    </w:tblStylePr>
  </w:style>
  <w:style w:type="table" w:styleId="81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single" w:color="000000" w:themeColor="accent4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664f82" w:themeColor="accent4" w:themeTint="9A" w:themeShade="95"/>
      </w:rPr>
    </w:tblStylePr>
  </w:style>
  <w:style w:type="table" w:styleId="81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8aa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338aa0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color="000000" w:sz="4" w:space="0"/>
          <w:start w:val="single" w:color="000000" w:themeColor="accent5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338aa0" w:themeColor="accent5" w:themeTint="9A" w:themeShade="95"/>
      </w:rPr>
    </w:tblStylePr>
  </w:style>
  <w:style w:type="table" w:styleId="81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d9680c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d9680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color="000000" w:sz="4" w:space="0"/>
          <w:start w:val="single" w:color="000000" w:themeColor="accent6" w:themeTint="98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d9680c" w:themeColor="accent6" w:themeTint="98" w:themeShade="95"/>
      </w:rPr>
    </w:tblStylePr>
  </w:style>
  <w:style w:type="table" w:styleId="81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table" w:styleId="824">
    <w:name w:val="Bordered &amp;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830">
    <w:name w:val="Bordered &amp;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table" w:styleId="83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 w:val="1"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 w:val="1"/>
    <w:rPr>
      <w:vertAlign w:val="superscript"/>
    </w:rPr>
  </w:style>
  <w:style w:type="paragraph" w:styleId="842">
    <w:name w:val="endnote text"/>
    <w:basedOn w:val="856"/>
    <w:link w:val="843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 w:val="1"/>
    <w:unhideWhenUsed w:val="1"/>
    <w:rPr>
      <w:vertAlign w:val="superscript"/>
    </w:rPr>
  </w:style>
  <w:style w:type="paragraph" w:styleId="845">
    <w:name w:val="toc 1"/>
    <w:basedOn w:val="856"/>
    <w:next w:val="856"/>
    <w:uiPriority w:val="39"/>
    <w:unhideWhenUsed w:val="1"/>
    <w:pPr>
      <w:spacing w:after="57"/>
      <w:ind w:start="0" w:end="0" w:firstLine="0"/>
    </w:pPr>
  </w:style>
  <w:style w:type="paragraph" w:styleId="846">
    <w:name w:val="toc 2"/>
    <w:basedOn w:val="856"/>
    <w:next w:val="856"/>
    <w:uiPriority w:val="39"/>
    <w:unhideWhenUsed w:val="1"/>
    <w:pPr>
      <w:spacing w:after="57"/>
      <w:ind w:start="283" w:end="0" w:firstLine="0"/>
    </w:pPr>
  </w:style>
  <w:style w:type="paragraph" w:styleId="847">
    <w:name w:val="toc 3"/>
    <w:basedOn w:val="856"/>
    <w:next w:val="856"/>
    <w:uiPriority w:val="39"/>
    <w:unhideWhenUsed w:val="1"/>
    <w:pPr>
      <w:spacing w:after="57"/>
      <w:ind w:start="567" w:end="0" w:firstLine="0"/>
    </w:pPr>
  </w:style>
  <w:style w:type="paragraph" w:styleId="848">
    <w:name w:val="toc 4"/>
    <w:basedOn w:val="856"/>
    <w:next w:val="856"/>
    <w:uiPriority w:val="39"/>
    <w:unhideWhenUsed w:val="1"/>
    <w:pPr>
      <w:spacing w:after="57"/>
      <w:ind w:start="850" w:end="0" w:firstLine="0"/>
    </w:pPr>
  </w:style>
  <w:style w:type="paragraph" w:styleId="849">
    <w:name w:val="toc 5"/>
    <w:basedOn w:val="856"/>
    <w:next w:val="856"/>
    <w:uiPriority w:val="39"/>
    <w:unhideWhenUsed w:val="1"/>
    <w:pPr>
      <w:spacing w:after="57"/>
      <w:ind w:start="1134" w:end="0" w:firstLine="0"/>
    </w:pPr>
  </w:style>
  <w:style w:type="paragraph" w:styleId="850">
    <w:name w:val="toc 6"/>
    <w:basedOn w:val="856"/>
    <w:next w:val="856"/>
    <w:uiPriority w:val="39"/>
    <w:unhideWhenUsed w:val="1"/>
    <w:pPr>
      <w:spacing w:after="57"/>
      <w:ind w:start="1417" w:end="0" w:firstLine="0"/>
    </w:pPr>
  </w:style>
  <w:style w:type="paragraph" w:styleId="851">
    <w:name w:val="toc 7"/>
    <w:basedOn w:val="856"/>
    <w:next w:val="856"/>
    <w:uiPriority w:val="39"/>
    <w:unhideWhenUsed w:val="1"/>
    <w:pPr>
      <w:spacing w:after="57"/>
      <w:ind w:start="1701" w:end="0" w:firstLine="0"/>
    </w:pPr>
  </w:style>
  <w:style w:type="paragraph" w:styleId="852">
    <w:name w:val="toc 8"/>
    <w:basedOn w:val="856"/>
    <w:next w:val="856"/>
    <w:uiPriority w:val="39"/>
    <w:unhideWhenUsed w:val="1"/>
    <w:pPr>
      <w:spacing w:after="57"/>
      <w:ind w:start="1984" w:end="0" w:firstLine="0"/>
    </w:pPr>
  </w:style>
  <w:style w:type="paragraph" w:styleId="853">
    <w:name w:val="toc 9"/>
    <w:basedOn w:val="856"/>
    <w:next w:val="856"/>
    <w:uiPriority w:val="39"/>
    <w:unhideWhenUsed w:val="1"/>
    <w:pPr>
      <w:spacing w:after="57"/>
      <w:ind w:start="2268" w:end="0" w:firstLine="0"/>
    </w:pPr>
  </w:style>
  <w:style w:type="paragraph" w:styleId="854">
    <w:name w:val="TOC Heading"/>
    <w:uiPriority w:val="39"/>
    <w:unhideWhenUsed w:val="1"/>
  </w:style>
  <w:style w:type="paragraph" w:styleId="855">
    <w:name w:val="table of figures"/>
    <w:basedOn w:val="856"/>
    <w:next w:val="856"/>
    <w:uiPriority w:val="99"/>
    <w:unhideWhenUsed w:val="1"/>
    <w:pPr>
      <w:spacing w:after="0" w:afterAutospacing="0"/>
    </w:pPr>
  </w:style>
  <w:style w:type="paragraph" w:styleId="856" w:default="1">
    <w:name w:val="Normal"/>
    <w:next w:val="856"/>
    <w:link w:val="856"/>
    <w:qFormat w:val="1"/>
    <w:rPr>
      <w:sz w:val="24"/>
      <w:lang w:val="ru-RU"/>
      <w:szCs w:val="24"/>
    </w:rPr>
  </w:style>
  <w:style w:type="paragraph" w:styleId="857">
    <w:name w:val="Заголовок 4"/>
    <w:basedOn w:val="856"/>
    <w:next w:val="856"/>
    <w:link w:val="862"/>
    <w:qFormat w:val="1"/>
    <w:pPr>
      <w:keepNext w:val="1"/>
      <w:widowControl w:val="0"/>
      <w:spacing w:before="60"/>
      <w:jc w:val="center"/>
      <w:outlineLvl w:val="3"/>
    </w:pPr>
    <w:rPr>
      <w:sz w:val="28"/>
      <w:b w:val="1"/>
      <w:szCs w:val="20"/>
    </w:rPr>
  </w:style>
  <w:style w:type="character" w:styleId="858">
    <w:name w:val="Основной шрифт абзаца"/>
    <w:next w:val="858"/>
    <w:link w:val="856"/>
    <w:semiHidden w:val="1"/>
  </w:style>
  <w:style w:type="table" w:styleId="859">
    <w:name w:val="Обычная таблица"/>
    <w:next w:val="859"/>
    <w:link w:val="856"/>
    <w:semiHidden w:val="1"/>
    <w:tblPr/>
  </w:style>
  <w:style w:type="numbering" w:styleId="860">
    <w:name w:val="Нет списка"/>
    <w:next w:val="860"/>
    <w:link w:val="856"/>
    <w:semiHidden w:val="1"/>
  </w:style>
  <w:style w:type="table" w:styleId="861">
    <w:name w:val="Сетка таблицы"/>
    <w:basedOn w:val="859"/>
    <w:next w:val="861"/>
    <w:link w:val="856"/>
    <w:tblPr/>
  </w:style>
  <w:style w:type="character" w:styleId="862">
    <w:name w:val="Заголовок 4 Знак"/>
    <w:basedOn w:val="858"/>
    <w:next w:val="862"/>
    <w:link w:val="857"/>
    <w:semiHidden w:val="1"/>
    <w:rPr>
      <w:sz w:val="28"/>
      <w:b w:val="1"/>
      <w:lang w:val="ru-RU"/>
    </w:rPr>
  </w:style>
  <w:style w:type="paragraph" w:styleId="863">
    <w:name w:val="FR1"/>
    <w:next w:val="863"/>
    <w:link w:val="856"/>
    <w:pPr>
      <w:widowControl w:val="0"/>
      <w:spacing w:before="160" w:line="300" w:lineRule="auto"/>
      <w:jc w:val="center"/>
    </w:pPr>
    <w:rPr>
      <w:sz w:val="28"/>
      <w:lang w:val="ru-RU"/>
    </w:rPr>
  </w:style>
  <w:style w:type="character" w:styleId="864">
    <w:name w:val="Гиперссылка"/>
    <w:basedOn w:val="858"/>
    <w:next w:val="864"/>
    <w:link w:val="856"/>
    <w:rPr>
      <w:color w:val="0000ff"/>
      <w:u w:val="single"/>
    </w:rPr>
  </w:style>
  <w:style w:type="paragraph" w:styleId="865">
    <w:name w:val="Обычный (веб)"/>
    <w:basedOn w:val="856"/>
    <w:next w:val="865"/>
    <w:link w:val="856"/>
    <w:pPr>
      <w:spacing w:before="100" w:beforeAutospacing="1" w:after="100" w:afterAutospacing="1"/>
    </w:pPr>
  </w:style>
  <w:style w:type="character" w:styleId="866" w:default="1">
    <w:name w:val="Default Paragraph Font"/>
    <w:uiPriority w:val="1"/>
    <w:semiHidden w:val="1"/>
    <w:unhideWhenUsed w:val="1"/>
  </w:style>
  <w:style w:type="numbering" w:styleId="867" w:default="1">
    <w:name w:val="No List"/>
    <w:uiPriority w:val="99"/>
    <w:semiHidden w:val="1"/>
    <w:unhideWhenUsed w:val="1"/>
  </w:style>
  <w:style w:type="table" w:styleId="868" w:default="1">
    <w:name w:val="Normal Table"/>
    <w:uiPriority w:val="99"/>
    <w:semiHidden w:val="1"/>
    <w:unhideWhenUsed w:val="1"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Р7-Офис/2024.3.2.551</ep:Application>
  <ep:Company>ZIC</ep:Company>
  <ep:DocSecurity>0</ep:DocSecurity>
  <ep:HyperlinksChanged>false</ep:HyperlinksChanged>
  <ep:ScaleCrop>false</ep:ScaleCrop>
  <ep:SharedDoc>false</ep:SharedDoc>
  <ep:Template>Normal.dotm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>Приложение 1</dc:title>
  <dc:creator>Alexander</dc:creator>
  <cp:revision>12</cp:revision>
  <dcterms:created xsi:type="dcterms:W3CDTF">2013-10-25T05:01:00Z</dcterms:created>
  <dcterms:modified xsi:type="dcterms:W3CDTF">2024-09-26T00:55:22Z</dcterms:modified>
  <cp:version>786432</cp:version>
</cp:coreProperties>
</file>